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1482" w14:textId="3F894AE0" w:rsidR="00AB00F6" w:rsidRDefault="00AB00F6">
      <w:pPr>
        <w:rPr>
          <w:sz w:val="24"/>
          <w:szCs w:val="24"/>
        </w:rPr>
      </w:pPr>
    </w:p>
    <w:p w14:paraId="110A560F" w14:textId="54943964" w:rsidR="00492407" w:rsidRDefault="00492407">
      <w:pPr>
        <w:rPr>
          <w:sz w:val="24"/>
          <w:szCs w:val="24"/>
        </w:rPr>
      </w:pPr>
    </w:p>
    <w:p w14:paraId="556A9728" w14:textId="77777777" w:rsidR="00492407" w:rsidRDefault="00492407">
      <w:pPr>
        <w:rPr>
          <w:sz w:val="24"/>
          <w:szCs w:val="24"/>
        </w:rPr>
      </w:pPr>
    </w:p>
    <w:p w14:paraId="06AFA68F" w14:textId="3EF36744" w:rsidR="002D1CD9" w:rsidRPr="004678A7" w:rsidRDefault="001E19BD" w:rsidP="004678A7">
      <w:pPr>
        <w:pStyle w:val="Heading1"/>
        <w:jc w:val="center"/>
        <w:rPr>
          <w:b/>
          <w:bCs/>
          <w:color w:val="002060"/>
        </w:rPr>
      </w:pPr>
      <w:r>
        <w:rPr>
          <w:b/>
          <w:bCs/>
          <w:color w:val="002060"/>
        </w:rPr>
        <w:t>QCSP</w:t>
      </w:r>
      <w:r w:rsidR="002D1CD9" w:rsidRPr="004678A7">
        <w:rPr>
          <w:b/>
          <w:bCs/>
          <w:color w:val="002060"/>
        </w:rPr>
        <w:t xml:space="preserve"> </w:t>
      </w:r>
      <w:r w:rsidR="009C6E26">
        <w:rPr>
          <w:b/>
          <w:bCs/>
          <w:color w:val="002060"/>
        </w:rPr>
        <w:t>Programmatic and Fiscal Monitoring A</w:t>
      </w:r>
      <w:r w:rsidR="00DE6F23">
        <w:rPr>
          <w:b/>
          <w:bCs/>
          <w:color w:val="002060"/>
        </w:rPr>
        <w:t>ssurances</w:t>
      </w:r>
    </w:p>
    <w:p w14:paraId="6083A911" w14:textId="7BB27FA7" w:rsidR="008E2A0E" w:rsidRPr="004678A7" w:rsidRDefault="008E2A0E" w:rsidP="002D1CD9">
      <w:pPr>
        <w:jc w:val="center"/>
        <w:rPr>
          <w:color w:val="002060"/>
          <w:sz w:val="24"/>
          <w:szCs w:val="24"/>
        </w:rPr>
      </w:pPr>
      <w:r w:rsidRPr="004678A7">
        <w:rPr>
          <w:color w:val="002060"/>
          <w:sz w:val="24"/>
          <w:szCs w:val="24"/>
        </w:rPr>
        <w:t xml:space="preserve">GVP RFQ </w:t>
      </w:r>
      <w:r w:rsidR="009C6E26">
        <w:rPr>
          <w:color w:val="002060"/>
          <w:sz w:val="24"/>
          <w:szCs w:val="24"/>
        </w:rPr>
        <w:t>Attachment 3</w:t>
      </w:r>
    </w:p>
    <w:p w14:paraId="2751BF25" w14:textId="77777777" w:rsidR="00492407" w:rsidRDefault="00492407" w:rsidP="007F2E4C">
      <w:pPr>
        <w:rPr>
          <w:bCs/>
          <w:sz w:val="24"/>
          <w:szCs w:val="24"/>
        </w:rPr>
      </w:pPr>
    </w:p>
    <w:p w14:paraId="3A77DFB2" w14:textId="061EABF6" w:rsidR="00D137B5" w:rsidRDefault="00492407" w:rsidP="007F2E4C">
      <w:pPr>
        <w:rPr>
          <w:bCs/>
          <w:sz w:val="24"/>
          <w:szCs w:val="24"/>
        </w:rPr>
      </w:pPr>
      <w:r>
        <w:rPr>
          <w:bCs/>
          <w:sz w:val="24"/>
          <w:szCs w:val="24"/>
        </w:rPr>
        <w:t>As a condition of qualification and receipt of milestone payments under the Gun Violence Prevention (GVP) Local Initiative, managed by RochesterWorks, Inc. (RWI), the Qualified Community Service Provider (QCSP) assures that it will comply with the following programmatic and fiscal monitoring requirements.</w:t>
      </w:r>
    </w:p>
    <w:p w14:paraId="61B7B4B6" w14:textId="77777777" w:rsidR="00492407" w:rsidRDefault="00492407" w:rsidP="007F2E4C">
      <w:pPr>
        <w:rPr>
          <w:bCs/>
          <w:sz w:val="24"/>
          <w:szCs w:val="24"/>
        </w:rPr>
      </w:pPr>
    </w:p>
    <w:p w14:paraId="179E7421" w14:textId="5F9C9ABC" w:rsidR="00492407" w:rsidRDefault="00492407" w:rsidP="00492407">
      <w:pPr>
        <w:pStyle w:val="ListParagraph"/>
        <w:numPr>
          <w:ilvl w:val="0"/>
          <w:numId w:val="3"/>
        </w:numPr>
        <w:rPr>
          <w:bCs/>
          <w:sz w:val="24"/>
          <w:szCs w:val="24"/>
        </w:rPr>
      </w:pPr>
      <w:r w:rsidRPr="00492407">
        <w:rPr>
          <w:bCs/>
          <w:sz w:val="24"/>
          <w:szCs w:val="24"/>
        </w:rPr>
        <w:t xml:space="preserve">Maintain an insurance policy that includes, at a minimum general liability coverage with single limits of liability in the amount of $1,000,000. RochesterWorks, Inc. requires that such policies name it as an additional insured. Provide proof of coverage for </w:t>
      </w:r>
      <w:r>
        <w:rPr>
          <w:bCs/>
          <w:sz w:val="24"/>
          <w:szCs w:val="24"/>
        </w:rPr>
        <w:t xml:space="preserve">general liability insurance, </w:t>
      </w:r>
      <w:r w:rsidRPr="00492407">
        <w:rPr>
          <w:bCs/>
          <w:sz w:val="24"/>
          <w:szCs w:val="24"/>
        </w:rPr>
        <w:t>worker’s compensation, disability, and automobile liability (if applicable</w:t>
      </w:r>
      <w:r>
        <w:rPr>
          <w:bCs/>
          <w:sz w:val="24"/>
          <w:szCs w:val="24"/>
        </w:rPr>
        <w:t>), once the Service Plan is approved.</w:t>
      </w:r>
    </w:p>
    <w:p w14:paraId="15E8F85D" w14:textId="77777777" w:rsidR="00492407" w:rsidRDefault="00492407" w:rsidP="00492407">
      <w:pPr>
        <w:pStyle w:val="ListParagraph"/>
        <w:rPr>
          <w:bCs/>
          <w:sz w:val="24"/>
          <w:szCs w:val="24"/>
        </w:rPr>
      </w:pPr>
    </w:p>
    <w:p w14:paraId="452030C7" w14:textId="626508CD" w:rsidR="00492407" w:rsidRDefault="00492407" w:rsidP="00492407">
      <w:pPr>
        <w:pStyle w:val="ListParagraph"/>
        <w:numPr>
          <w:ilvl w:val="0"/>
          <w:numId w:val="3"/>
        </w:numPr>
        <w:spacing w:after="0"/>
        <w:rPr>
          <w:bCs/>
          <w:sz w:val="24"/>
          <w:szCs w:val="24"/>
        </w:rPr>
      </w:pPr>
      <w:r w:rsidRPr="00492407">
        <w:rPr>
          <w:bCs/>
          <w:sz w:val="24"/>
          <w:szCs w:val="24"/>
        </w:rPr>
        <w:t>R</w:t>
      </w:r>
      <w:r w:rsidRPr="00492407">
        <w:rPr>
          <w:bCs/>
          <w:sz w:val="24"/>
          <w:szCs w:val="24"/>
        </w:rPr>
        <w:t xml:space="preserve">etain fiscal (including procurement) and participant records for three years following the closeout of the GVP program. </w:t>
      </w:r>
    </w:p>
    <w:p w14:paraId="590F9C1A" w14:textId="77777777" w:rsidR="00492407" w:rsidRPr="00492407" w:rsidRDefault="00492407" w:rsidP="00492407">
      <w:pPr>
        <w:spacing w:after="0"/>
        <w:ind w:left="360"/>
        <w:rPr>
          <w:bCs/>
          <w:sz w:val="24"/>
          <w:szCs w:val="24"/>
        </w:rPr>
      </w:pPr>
    </w:p>
    <w:p w14:paraId="7AE4862D" w14:textId="43DAC3CE" w:rsidR="00492407" w:rsidRDefault="00492407" w:rsidP="00492407">
      <w:pPr>
        <w:pStyle w:val="ListParagraph"/>
        <w:numPr>
          <w:ilvl w:val="0"/>
          <w:numId w:val="3"/>
        </w:numPr>
        <w:spacing w:after="0"/>
        <w:rPr>
          <w:bCs/>
          <w:sz w:val="24"/>
          <w:szCs w:val="24"/>
        </w:rPr>
      </w:pPr>
      <w:r w:rsidRPr="00492407">
        <w:rPr>
          <w:bCs/>
          <w:sz w:val="24"/>
          <w:szCs w:val="24"/>
        </w:rPr>
        <w:t xml:space="preserve">Between the start of the program and the end of the document retention period, make records available to RWI and/or </w:t>
      </w:r>
      <w:r>
        <w:rPr>
          <w:bCs/>
          <w:sz w:val="24"/>
          <w:szCs w:val="24"/>
        </w:rPr>
        <w:t>New York State Department of Labor (</w:t>
      </w:r>
      <w:r w:rsidRPr="00492407">
        <w:rPr>
          <w:bCs/>
          <w:sz w:val="24"/>
          <w:szCs w:val="24"/>
        </w:rPr>
        <w:t>NYSDOL</w:t>
      </w:r>
      <w:r>
        <w:rPr>
          <w:bCs/>
          <w:sz w:val="24"/>
          <w:szCs w:val="24"/>
        </w:rPr>
        <w:t>)</w:t>
      </w:r>
      <w:r w:rsidRPr="00492407">
        <w:rPr>
          <w:bCs/>
          <w:sz w:val="24"/>
          <w:szCs w:val="24"/>
        </w:rPr>
        <w:t xml:space="preserve"> staff upon request, either in person, or electronically, using secure encryption and file transmission technology. </w:t>
      </w:r>
    </w:p>
    <w:p w14:paraId="3A9682F0" w14:textId="77777777" w:rsidR="00492407" w:rsidRPr="00492407" w:rsidRDefault="00492407" w:rsidP="00492407">
      <w:pPr>
        <w:spacing w:after="0"/>
        <w:rPr>
          <w:bCs/>
          <w:sz w:val="24"/>
          <w:szCs w:val="24"/>
        </w:rPr>
      </w:pPr>
    </w:p>
    <w:p w14:paraId="11CAB40C" w14:textId="6CB4FD71" w:rsidR="00492407" w:rsidRDefault="00492407" w:rsidP="00492407">
      <w:pPr>
        <w:pStyle w:val="ListParagraph"/>
        <w:numPr>
          <w:ilvl w:val="0"/>
          <w:numId w:val="3"/>
        </w:numPr>
        <w:spacing w:after="0"/>
        <w:rPr>
          <w:bCs/>
          <w:sz w:val="24"/>
          <w:szCs w:val="24"/>
        </w:rPr>
      </w:pPr>
      <w:r w:rsidRPr="00492407">
        <w:rPr>
          <w:bCs/>
          <w:sz w:val="24"/>
          <w:szCs w:val="24"/>
        </w:rPr>
        <w:t>RWI will monitor QCSPs according to the following schedule</w:t>
      </w:r>
      <w:r>
        <w:rPr>
          <w:bCs/>
          <w:sz w:val="24"/>
          <w:szCs w:val="24"/>
        </w:rPr>
        <w:t>:</w:t>
      </w:r>
    </w:p>
    <w:p w14:paraId="766BC72B" w14:textId="77777777" w:rsidR="00492407" w:rsidRPr="00492407" w:rsidRDefault="00492407" w:rsidP="00492407">
      <w:pPr>
        <w:spacing w:after="0"/>
        <w:rPr>
          <w:bCs/>
          <w:sz w:val="24"/>
          <w:szCs w:val="24"/>
        </w:rPr>
      </w:pPr>
    </w:p>
    <w:p w14:paraId="1EE0E097" w14:textId="5DD1D6E8" w:rsidR="00492407" w:rsidRPr="00492407" w:rsidRDefault="00492407" w:rsidP="00492407">
      <w:pPr>
        <w:pStyle w:val="ListParagraph"/>
        <w:numPr>
          <w:ilvl w:val="0"/>
          <w:numId w:val="4"/>
        </w:numPr>
        <w:spacing w:after="0" w:line="240" w:lineRule="auto"/>
        <w:rPr>
          <w:bCs/>
          <w:sz w:val="24"/>
          <w:szCs w:val="24"/>
        </w:rPr>
      </w:pPr>
      <w:r w:rsidRPr="00492407">
        <w:rPr>
          <w:b/>
          <w:sz w:val="24"/>
          <w:szCs w:val="24"/>
        </w:rPr>
        <w:t>Programmatic Monitoring.</w:t>
      </w:r>
      <w:r w:rsidRPr="00492407">
        <w:rPr>
          <w:bCs/>
          <w:sz w:val="24"/>
          <w:szCs w:val="24"/>
        </w:rPr>
        <w:t xml:space="preserve"> </w:t>
      </w:r>
    </w:p>
    <w:p w14:paraId="3414D18E" w14:textId="77777777" w:rsidR="00492407" w:rsidRPr="00492407" w:rsidRDefault="00492407" w:rsidP="00492407">
      <w:pPr>
        <w:pStyle w:val="ListParagraph"/>
        <w:numPr>
          <w:ilvl w:val="1"/>
          <w:numId w:val="4"/>
        </w:numPr>
        <w:spacing w:after="0" w:line="240" w:lineRule="auto"/>
        <w:ind w:left="1440"/>
        <w:rPr>
          <w:bCs/>
          <w:sz w:val="24"/>
          <w:szCs w:val="24"/>
        </w:rPr>
      </w:pPr>
      <w:r w:rsidRPr="00492407">
        <w:rPr>
          <w:bCs/>
          <w:sz w:val="24"/>
          <w:szCs w:val="24"/>
        </w:rPr>
        <w:t>Monthly desk reviews of program participant data, eligibility, and services provided</w:t>
      </w:r>
    </w:p>
    <w:p w14:paraId="1DB8001E" w14:textId="77777777" w:rsidR="00492407" w:rsidRPr="00492407" w:rsidRDefault="00492407" w:rsidP="00492407">
      <w:pPr>
        <w:pStyle w:val="ListParagraph"/>
        <w:numPr>
          <w:ilvl w:val="1"/>
          <w:numId w:val="4"/>
        </w:numPr>
        <w:spacing w:after="0" w:line="240" w:lineRule="auto"/>
        <w:ind w:left="1440"/>
        <w:rPr>
          <w:bCs/>
          <w:sz w:val="24"/>
          <w:szCs w:val="24"/>
        </w:rPr>
      </w:pPr>
      <w:r w:rsidRPr="00492407">
        <w:rPr>
          <w:bCs/>
          <w:sz w:val="24"/>
          <w:szCs w:val="24"/>
        </w:rPr>
        <w:t>Quarterly review of a sample of participant files</w:t>
      </w:r>
    </w:p>
    <w:p w14:paraId="36E935F9" w14:textId="77777777" w:rsidR="00492407" w:rsidRPr="00492407" w:rsidRDefault="00492407" w:rsidP="00492407">
      <w:pPr>
        <w:pStyle w:val="ListParagraph"/>
        <w:numPr>
          <w:ilvl w:val="1"/>
          <w:numId w:val="4"/>
        </w:numPr>
        <w:spacing w:after="0" w:line="240" w:lineRule="auto"/>
        <w:ind w:left="1440"/>
        <w:rPr>
          <w:bCs/>
          <w:sz w:val="24"/>
          <w:szCs w:val="24"/>
        </w:rPr>
      </w:pPr>
      <w:r w:rsidRPr="00492407">
        <w:rPr>
          <w:bCs/>
          <w:sz w:val="24"/>
          <w:szCs w:val="24"/>
        </w:rPr>
        <w:t>Semi-annual site visits at a time that program services are being provided</w:t>
      </w:r>
    </w:p>
    <w:p w14:paraId="3FF1D500" w14:textId="42DB9E41" w:rsidR="00492407" w:rsidRDefault="00492407" w:rsidP="00492407">
      <w:pPr>
        <w:pStyle w:val="ListParagraph"/>
        <w:numPr>
          <w:ilvl w:val="1"/>
          <w:numId w:val="4"/>
        </w:numPr>
        <w:spacing w:after="0" w:line="240" w:lineRule="auto"/>
        <w:ind w:left="1440"/>
        <w:rPr>
          <w:bCs/>
          <w:sz w:val="24"/>
          <w:szCs w:val="24"/>
        </w:rPr>
      </w:pPr>
      <w:r w:rsidRPr="00492407">
        <w:rPr>
          <w:bCs/>
          <w:sz w:val="24"/>
          <w:szCs w:val="24"/>
        </w:rPr>
        <w:t>Ad-hoc monitoring as needed if a potential risk or compliance issue is identified</w:t>
      </w:r>
    </w:p>
    <w:p w14:paraId="7E530757" w14:textId="77777777" w:rsidR="00492407" w:rsidRPr="00492407" w:rsidRDefault="00492407" w:rsidP="00492407">
      <w:pPr>
        <w:pStyle w:val="ListParagraph"/>
        <w:spacing w:after="0" w:line="240" w:lineRule="auto"/>
        <w:ind w:left="1440"/>
        <w:rPr>
          <w:bCs/>
          <w:sz w:val="24"/>
          <w:szCs w:val="24"/>
        </w:rPr>
      </w:pPr>
    </w:p>
    <w:p w14:paraId="022370CA" w14:textId="537CC0E9" w:rsidR="00492407" w:rsidRPr="00492407" w:rsidRDefault="00492407" w:rsidP="00492407">
      <w:pPr>
        <w:pStyle w:val="ListParagraph"/>
        <w:numPr>
          <w:ilvl w:val="0"/>
          <w:numId w:val="4"/>
        </w:numPr>
        <w:spacing w:after="0" w:line="240" w:lineRule="auto"/>
        <w:rPr>
          <w:bCs/>
          <w:sz w:val="24"/>
          <w:szCs w:val="24"/>
        </w:rPr>
      </w:pPr>
      <w:r w:rsidRPr="00492407">
        <w:rPr>
          <w:b/>
          <w:sz w:val="24"/>
          <w:szCs w:val="24"/>
        </w:rPr>
        <w:t>Fiscal Monitoring</w:t>
      </w:r>
    </w:p>
    <w:p w14:paraId="24AAA364" w14:textId="77777777" w:rsidR="00492407" w:rsidRPr="00492407" w:rsidRDefault="00492407" w:rsidP="00492407">
      <w:pPr>
        <w:pStyle w:val="ListParagraph"/>
        <w:numPr>
          <w:ilvl w:val="1"/>
          <w:numId w:val="4"/>
        </w:numPr>
        <w:spacing w:after="0" w:line="240" w:lineRule="auto"/>
        <w:ind w:left="1440"/>
        <w:rPr>
          <w:bCs/>
          <w:sz w:val="24"/>
          <w:szCs w:val="24"/>
        </w:rPr>
      </w:pPr>
      <w:r w:rsidRPr="00492407">
        <w:rPr>
          <w:bCs/>
          <w:sz w:val="24"/>
          <w:szCs w:val="24"/>
        </w:rPr>
        <w:t xml:space="preserve">QCSPs must submit a copy of their procurement policy and procedures to RWI at the time that their service plan is approved. Service Providers that do not have a </w:t>
      </w:r>
      <w:r w:rsidRPr="00492407">
        <w:rPr>
          <w:bCs/>
          <w:sz w:val="24"/>
          <w:szCs w:val="24"/>
        </w:rPr>
        <w:lastRenderedPageBreak/>
        <w:t>procurement policy and procedures must adhere to the RWI procurement policy and procedures.</w:t>
      </w:r>
    </w:p>
    <w:p w14:paraId="414AFB09" w14:textId="77777777" w:rsidR="00492407" w:rsidRPr="00492407" w:rsidRDefault="00492407" w:rsidP="00492407">
      <w:pPr>
        <w:pStyle w:val="ListParagraph"/>
        <w:numPr>
          <w:ilvl w:val="1"/>
          <w:numId w:val="4"/>
        </w:numPr>
        <w:spacing w:after="0" w:line="240" w:lineRule="auto"/>
        <w:ind w:left="1440"/>
        <w:rPr>
          <w:bCs/>
          <w:sz w:val="24"/>
          <w:szCs w:val="24"/>
        </w:rPr>
      </w:pPr>
      <w:r w:rsidRPr="00492407">
        <w:rPr>
          <w:bCs/>
          <w:sz w:val="24"/>
          <w:szCs w:val="24"/>
        </w:rPr>
        <w:t>Desk review of all invoices submitted for payment to monitor for need, reasonableness, and allowability of costs, as well as to ensure that costs are not being paid by another funding source. If there is any question on the reasonableness of a cost, RWI staff will request a copy of the procurement file. If a cost is disallowed, RWI will provide technical assistance to the Service Provider.</w:t>
      </w:r>
    </w:p>
    <w:p w14:paraId="748D7297" w14:textId="77777777" w:rsidR="00492407" w:rsidRPr="00492407" w:rsidRDefault="00492407" w:rsidP="00492407">
      <w:pPr>
        <w:pStyle w:val="ListParagraph"/>
        <w:numPr>
          <w:ilvl w:val="1"/>
          <w:numId w:val="4"/>
        </w:numPr>
        <w:spacing w:after="0" w:line="240" w:lineRule="auto"/>
        <w:ind w:left="1440"/>
        <w:rPr>
          <w:bCs/>
          <w:sz w:val="24"/>
          <w:szCs w:val="24"/>
        </w:rPr>
      </w:pPr>
      <w:r w:rsidRPr="00492407">
        <w:rPr>
          <w:bCs/>
          <w:sz w:val="24"/>
          <w:szCs w:val="24"/>
        </w:rPr>
        <w:t>Quarterly monitoring of inventory and control records of any mobile phones or computing devices purchased by the QCSP.</w:t>
      </w:r>
    </w:p>
    <w:p w14:paraId="221CE252" w14:textId="3FEBB97C" w:rsidR="00492407" w:rsidRPr="00492407" w:rsidRDefault="00492407" w:rsidP="00492407">
      <w:pPr>
        <w:pStyle w:val="ListParagraph"/>
        <w:numPr>
          <w:ilvl w:val="1"/>
          <w:numId w:val="4"/>
        </w:numPr>
        <w:spacing w:after="0" w:line="240" w:lineRule="auto"/>
        <w:ind w:left="1440"/>
        <w:rPr>
          <w:bCs/>
          <w:sz w:val="24"/>
          <w:szCs w:val="24"/>
        </w:rPr>
      </w:pPr>
      <w:r w:rsidRPr="00492407">
        <w:rPr>
          <w:bCs/>
          <w:sz w:val="24"/>
          <w:szCs w:val="24"/>
        </w:rPr>
        <w:t>Ad-hoc monitoring as needed if a potential risk or compliance issue is identified.</w:t>
      </w:r>
    </w:p>
    <w:p w14:paraId="5137A35C" w14:textId="77777777" w:rsidR="00492407" w:rsidRPr="00492407" w:rsidRDefault="00492407" w:rsidP="00492407">
      <w:pPr>
        <w:pStyle w:val="ListParagraph"/>
        <w:spacing w:after="0" w:line="240" w:lineRule="auto"/>
        <w:ind w:left="1800"/>
        <w:rPr>
          <w:bCs/>
        </w:rPr>
      </w:pPr>
    </w:p>
    <w:p w14:paraId="20DB129A" w14:textId="77777777" w:rsidR="00336D16" w:rsidRDefault="00336D16" w:rsidP="00D137B5">
      <w:pPr>
        <w:rPr>
          <w:b/>
          <w:sz w:val="24"/>
          <w:szCs w:val="24"/>
        </w:rPr>
      </w:pPr>
    </w:p>
    <w:p w14:paraId="070A3329" w14:textId="34D3150B" w:rsidR="00D137B5" w:rsidRDefault="00D137B5" w:rsidP="00D137B5">
      <w:pPr>
        <w:rPr>
          <w:bCs/>
          <w:sz w:val="24"/>
          <w:szCs w:val="24"/>
        </w:rPr>
      </w:pPr>
      <w:r>
        <w:rPr>
          <w:b/>
          <w:sz w:val="24"/>
          <w:szCs w:val="24"/>
        </w:rPr>
        <w:t>Name, Title, and Signature of Authorized Signatory</w:t>
      </w:r>
    </w:p>
    <w:p w14:paraId="4E3E0688" w14:textId="77777777" w:rsidR="000E07D7" w:rsidRDefault="000E07D7" w:rsidP="00D137B5">
      <w:pPr>
        <w:rPr>
          <w:bCs/>
          <w:sz w:val="24"/>
          <w:szCs w:val="24"/>
        </w:rPr>
      </w:pPr>
    </w:p>
    <w:p w14:paraId="2D596451" w14:textId="7CF1E7CF" w:rsidR="00D137B5" w:rsidRDefault="00D137B5" w:rsidP="00D137B5">
      <w:pPr>
        <w:spacing w:after="60"/>
        <w:rPr>
          <w:bCs/>
          <w:sz w:val="24"/>
          <w:szCs w:val="24"/>
        </w:rPr>
      </w:pPr>
      <w:r>
        <w:rPr>
          <w:bCs/>
          <w:sz w:val="24"/>
          <w:szCs w:val="24"/>
        </w:rPr>
        <w:t>__________________________________</w:t>
      </w:r>
      <w:r w:rsidR="000E07D7">
        <w:rPr>
          <w:bCs/>
          <w:sz w:val="24"/>
          <w:szCs w:val="24"/>
        </w:rPr>
        <w:tab/>
      </w:r>
      <w:r w:rsidR="000E07D7">
        <w:rPr>
          <w:bCs/>
          <w:sz w:val="24"/>
          <w:szCs w:val="24"/>
        </w:rPr>
        <w:tab/>
        <w:t>___________________________________</w:t>
      </w:r>
    </w:p>
    <w:p w14:paraId="7467FDD6" w14:textId="1B5A7562" w:rsidR="00D137B5" w:rsidRDefault="00D137B5" w:rsidP="00D137B5">
      <w:pPr>
        <w:rPr>
          <w:bCs/>
          <w:sz w:val="24"/>
          <w:szCs w:val="24"/>
        </w:rPr>
      </w:pPr>
      <w:r>
        <w:rPr>
          <w:bCs/>
          <w:sz w:val="24"/>
          <w:szCs w:val="24"/>
        </w:rPr>
        <w:t>Printed Name</w:t>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Pr>
          <w:bCs/>
          <w:sz w:val="24"/>
          <w:szCs w:val="24"/>
        </w:rPr>
        <w:t>Job Title</w:t>
      </w:r>
    </w:p>
    <w:p w14:paraId="5481EA9C" w14:textId="3C28BE54" w:rsidR="00D137B5" w:rsidRDefault="00D137B5" w:rsidP="00D137B5">
      <w:pPr>
        <w:spacing w:after="60"/>
        <w:rPr>
          <w:bCs/>
          <w:sz w:val="24"/>
          <w:szCs w:val="24"/>
        </w:rPr>
      </w:pPr>
      <w:r>
        <w:rPr>
          <w:bCs/>
          <w:sz w:val="24"/>
          <w:szCs w:val="24"/>
        </w:rPr>
        <w:t>__________________________________</w:t>
      </w:r>
      <w:r w:rsidR="000E07D7">
        <w:rPr>
          <w:bCs/>
          <w:sz w:val="24"/>
          <w:szCs w:val="24"/>
        </w:rPr>
        <w:tab/>
      </w:r>
      <w:r w:rsidR="000E07D7">
        <w:rPr>
          <w:bCs/>
          <w:sz w:val="24"/>
          <w:szCs w:val="24"/>
        </w:rPr>
        <w:tab/>
        <w:t>___________________________________</w:t>
      </w:r>
    </w:p>
    <w:p w14:paraId="26303419" w14:textId="4180E7BA" w:rsidR="004678A7" w:rsidRDefault="00D137B5">
      <w:pPr>
        <w:rPr>
          <w:bCs/>
          <w:sz w:val="24"/>
          <w:szCs w:val="24"/>
        </w:rPr>
      </w:pPr>
      <w:r>
        <w:rPr>
          <w:bCs/>
          <w:sz w:val="24"/>
          <w:szCs w:val="24"/>
        </w:rPr>
        <w:t>Signature</w:t>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sidR="000E07D7">
        <w:rPr>
          <w:bCs/>
          <w:sz w:val="24"/>
          <w:szCs w:val="24"/>
        </w:rPr>
        <w:tab/>
      </w:r>
      <w:r>
        <w:rPr>
          <w:bCs/>
          <w:sz w:val="24"/>
          <w:szCs w:val="24"/>
        </w:rPr>
        <w:t>Date</w:t>
      </w:r>
    </w:p>
    <w:sectPr w:rsidR="004678A7" w:rsidSect="00050AA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6306" w14:textId="77777777" w:rsidR="00540DCF" w:rsidRDefault="00540DCF" w:rsidP="002D1CD9">
      <w:pPr>
        <w:spacing w:after="0" w:line="240" w:lineRule="auto"/>
      </w:pPr>
      <w:r>
        <w:separator/>
      </w:r>
    </w:p>
  </w:endnote>
  <w:endnote w:type="continuationSeparator" w:id="0">
    <w:p w14:paraId="79982897" w14:textId="77777777" w:rsidR="00540DCF" w:rsidRDefault="00540DCF" w:rsidP="002D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4F4" w14:textId="41A11B60" w:rsidR="008E2A0E" w:rsidRDefault="00336D16">
    <w:pPr>
      <w:pStyle w:val="Footer"/>
    </w:pPr>
    <w:r>
      <w:t>Attachment 3</w:t>
    </w:r>
    <w:r w:rsidR="008E2A0E">
      <w:tab/>
    </w:r>
    <w:r w:rsidR="008E2A0E">
      <w:fldChar w:fldCharType="begin"/>
    </w:r>
    <w:r w:rsidR="008E2A0E">
      <w:instrText xml:space="preserve"> PAGE   \* MERGEFORMAT </w:instrText>
    </w:r>
    <w:r w:rsidR="008E2A0E">
      <w:fldChar w:fldCharType="separate"/>
    </w:r>
    <w:r w:rsidR="008E2A0E">
      <w:rPr>
        <w:noProof/>
      </w:rPr>
      <w:t>1</w:t>
    </w:r>
    <w:r w:rsidR="008E2A0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448C" w14:textId="7081CDF8" w:rsidR="00050AAB" w:rsidRDefault="009C6E26">
    <w:pPr>
      <w:pStyle w:val="Footer"/>
    </w:pPr>
    <w:r>
      <w:t>Attachment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DE9B" w14:textId="77777777" w:rsidR="00540DCF" w:rsidRDefault="00540DCF" w:rsidP="002D1CD9">
      <w:pPr>
        <w:spacing w:after="0" w:line="240" w:lineRule="auto"/>
      </w:pPr>
      <w:r>
        <w:separator/>
      </w:r>
    </w:p>
  </w:footnote>
  <w:footnote w:type="continuationSeparator" w:id="0">
    <w:p w14:paraId="54910206" w14:textId="77777777" w:rsidR="00540DCF" w:rsidRDefault="00540DCF" w:rsidP="002D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7307" w14:textId="4889CD67" w:rsidR="00050AAB" w:rsidRDefault="00050AAB">
    <w:pPr>
      <w:pStyle w:val="Header"/>
    </w:pPr>
    <w:r w:rsidRPr="002D1CD9">
      <w:rPr>
        <w:rFonts w:ascii="Calibri" w:eastAsia="Calibri" w:hAnsi="Calibri" w:cs="Times New Roman"/>
        <w:noProof/>
      </w:rPr>
      <w:drawing>
        <wp:anchor distT="0" distB="0" distL="114300" distR="114300" simplePos="0" relativeHeight="251659264" behindDoc="0" locked="0" layoutInCell="1" allowOverlap="1" wp14:anchorId="6999B751" wp14:editId="239F8D4C">
          <wp:simplePos x="0" y="0"/>
          <wp:positionH relativeFrom="margin">
            <wp:align>center</wp:align>
          </wp:positionH>
          <wp:positionV relativeFrom="paragraph">
            <wp:posOffset>-266700</wp:posOffset>
          </wp:positionV>
          <wp:extent cx="2933700" cy="838110"/>
          <wp:effectExtent l="0" t="0" r="0" b="63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3700" cy="838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754"/>
    <w:multiLevelType w:val="hybridMultilevel"/>
    <w:tmpl w:val="9086ED94"/>
    <w:lvl w:ilvl="0" w:tplc="CBA29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F5E77"/>
    <w:multiLevelType w:val="hybridMultilevel"/>
    <w:tmpl w:val="9026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D1FD7"/>
    <w:multiLevelType w:val="hybridMultilevel"/>
    <w:tmpl w:val="FF0E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C7BD1"/>
    <w:multiLevelType w:val="hybridMultilevel"/>
    <w:tmpl w:val="4FBC5586"/>
    <w:lvl w:ilvl="0" w:tplc="0E54F924">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41"/>
    <w:rsid w:val="0003781E"/>
    <w:rsid w:val="000436C8"/>
    <w:rsid w:val="00050AAB"/>
    <w:rsid w:val="00096E86"/>
    <w:rsid w:val="000E07D7"/>
    <w:rsid w:val="0013692E"/>
    <w:rsid w:val="001E19BD"/>
    <w:rsid w:val="002D1CD9"/>
    <w:rsid w:val="003012E1"/>
    <w:rsid w:val="00310CF5"/>
    <w:rsid w:val="00336D16"/>
    <w:rsid w:val="003C36A5"/>
    <w:rsid w:val="004419C3"/>
    <w:rsid w:val="004678A7"/>
    <w:rsid w:val="00492407"/>
    <w:rsid w:val="004B5203"/>
    <w:rsid w:val="00533220"/>
    <w:rsid w:val="00540DCF"/>
    <w:rsid w:val="005D2786"/>
    <w:rsid w:val="00664A33"/>
    <w:rsid w:val="006D3EFA"/>
    <w:rsid w:val="00730BD0"/>
    <w:rsid w:val="00772895"/>
    <w:rsid w:val="007F2E4C"/>
    <w:rsid w:val="008E2A0E"/>
    <w:rsid w:val="009711BD"/>
    <w:rsid w:val="009C6E26"/>
    <w:rsid w:val="009F626D"/>
    <w:rsid w:val="00A307FF"/>
    <w:rsid w:val="00AB00F6"/>
    <w:rsid w:val="00AF3541"/>
    <w:rsid w:val="00AF478B"/>
    <w:rsid w:val="00B2040F"/>
    <w:rsid w:val="00C77E7A"/>
    <w:rsid w:val="00CA074B"/>
    <w:rsid w:val="00CF226C"/>
    <w:rsid w:val="00D137B5"/>
    <w:rsid w:val="00DB1A0E"/>
    <w:rsid w:val="00DE22AC"/>
    <w:rsid w:val="00D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B18F"/>
  <w15:chartTrackingRefBased/>
  <w15:docId w15:val="{5F847670-6633-4635-8BC3-B33CC30D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6E86"/>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096E86"/>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CD9"/>
  </w:style>
  <w:style w:type="paragraph" w:styleId="Footer">
    <w:name w:val="footer"/>
    <w:basedOn w:val="Normal"/>
    <w:link w:val="FooterChar"/>
    <w:uiPriority w:val="99"/>
    <w:unhideWhenUsed/>
    <w:rsid w:val="002D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CD9"/>
  </w:style>
  <w:style w:type="character" w:styleId="Hyperlink">
    <w:name w:val="Hyperlink"/>
    <w:basedOn w:val="DefaultParagraphFont"/>
    <w:uiPriority w:val="99"/>
    <w:unhideWhenUsed/>
    <w:rsid w:val="007F2E4C"/>
    <w:rPr>
      <w:color w:val="0563C1" w:themeColor="hyperlink"/>
      <w:u w:val="single"/>
    </w:rPr>
  </w:style>
  <w:style w:type="character" w:styleId="UnresolvedMention">
    <w:name w:val="Unresolved Mention"/>
    <w:basedOn w:val="DefaultParagraphFont"/>
    <w:uiPriority w:val="99"/>
    <w:semiHidden/>
    <w:unhideWhenUsed/>
    <w:rsid w:val="007F2E4C"/>
    <w:rPr>
      <w:color w:val="605E5C"/>
      <w:shd w:val="clear" w:color="auto" w:fill="E1DFDD"/>
    </w:rPr>
  </w:style>
  <w:style w:type="paragraph" w:styleId="ListParagraph">
    <w:name w:val="List Paragraph"/>
    <w:basedOn w:val="Normal"/>
    <w:uiPriority w:val="34"/>
    <w:qFormat/>
    <w:rsid w:val="007F2E4C"/>
    <w:pPr>
      <w:ind w:left="720"/>
      <w:contextualSpacing/>
    </w:pPr>
  </w:style>
  <w:style w:type="table" w:styleId="TableGrid">
    <w:name w:val="Table Grid"/>
    <w:basedOn w:val="TableNormal"/>
    <w:uiPriority w:val="39"/>
    <w:rsid w:val="0005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96E8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096E86"/>
    <w:rPr>
      <w:rFonts w:ascii="Times New Roman" w:eastAsia="Times New Roman" w:hAnsi="Times New Roman" w:cs="Times New Roman"/>
      <w:b/>
      <w:bCs/>
      <w:sz w:val="24"/>
      <w:szCs w:val="24"/>
    </w:rPr>
  </w:style>
  <w:style w:type="paragraph" w:styleId="EnvelopeReturn">
    <w:name w:val="envelope return"/>
    <w:basedOn w:val="Normal"/>
    <w:rsid w:val="00096E86"/>
    <w:pPr>
      <w:spacing w:after="0" w:line="240" w:lineRule="auto"/>
    </w:pPr>
    <w:rPr>
      <w:rFonts w:ascii="Bookman Old Style" w:eastAsia="Times New Roman" w:hAnsi="Bookman Old Style" w:cs="Arial"/>
      <w:b/>
      <w:sz w:val="20"/>
      <w:szCs w:val="20"/>
    </w:rPr>
  </w:style>
  <w:style w:type="paragraph" w:styleId="BodyText2">
    <w:name w:val="Body Text 2"/>
    <w:basedOn w:val="Normal"/>
    <w:link w:val="BodyText2Char"/>
    <w:rsid w:val="00096E86"/>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096E86"/>
    <w:rPr>
      <w:rFonts w:ascii="Times New Roman" w:eastAsia="Times New Roman" w:hAnsi="Times New Roman" w:cs="Times New Roman"/>
      <w:b/>
      <w:bCs/>
      <w:sz w:val="24"/>
      <w:szCs w:val="24"/>
    </w:rPr>
  </w:style>
  <w:style w:type="paragraph" w:styleId="BodyText3">
    <w:name w:val="Body Text 3"/>
    <w:basedOn w:val="Normal"/>
    <w:link w:val="BodyText3Char"/>
    <w:rsid w:val="00096E86"/>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96E86"/>
    <w:rPr>
      <w:rFonts w:ascii="Times New Roman" w:eastAsia="Times New Roman" w:hAnsi="Times New Roman" w:cs="Times New Roman"/>
      <w:i/>
      <w:iCs/>
      <w:sz w:val="24"/>
      <w:szCs w:val="24"/>
    </w:rPr>
  </w:style>
  <w:style w:type="character" w:customStyle="1" w:styleId="CONTSECTION">
    <w:name w:val="CONT SECTION"/>
    <w:rsid w:val="00096E86"/>
    <w:rPr>
      <w:rFonts w:ascii="Arial" w:hAnsi="Arial"/>
      <w:sz w:val="24"/>
    </w:rPr>
  </w:style>
  <w:style w:type="character" w:styleId="PageNumber">
    <w:name w:val="page number"/>
    <w:basedOn w:val="DefaultParagraphFont"/>
    <w:rsid w:val="00096E86"/>
  </w:style>
  <w:style w:type="character" w:customStyle="1" w:styleId="Heading1Char">
    <w:name w:val="Heading 1 Char"/>
    <w:basedOn w:val="DefaultParagraphFont"/>
    <w:link w:val="Heading1"/>
    <w:uiPriority w:val="9"/>
    <w:rsid w:val="004678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78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Koslow</dc:creator>
  <cp:keywords/>
  <dc:description/>
  <cp:lastModifiedBy>Lee Koslow</cp:lastModifiedBy>
  <cp:revision>6</cp:revision>
  <dcterms:created xsi:type="dcterms:W3CDTF">2021-08-17T20:32:00Z</dcterms:created>
  <dcterms:modified xsi:type="dcterms:W3CDTF">2021-08-17T20:48:00Z</dcterms:modified>
</cp:coreProperties>
</file>